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579DE" w14:textId="77777777" w:rsidR="007A6598" w:rsidRPr="004D2098" w:rsidRDefault="007A6598">
      <w:pPr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</w:p>
    <w:p w14:paraId="3350F3A5" w14:textId="29D0BDD9" w:rsidR="007A6598" w:rsidRPr="004D2098" w:rsidRDefault="003D461F">
      <w:pPr>
        <w:jc w:val="center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UCHWAŁA NR </w:t>
      </w:r>
      <w:r w:rsidR="00143973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XIII/</w:t>
      </w:r>
      <w:bookmarkStart w:id="0" w:name="_GoBack"/>
      <w:bookmarkEnd w:id="0"/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......../2025</w:t>
      </w:r>
    </w:p>
    <w:p w14:paraId="439FCB0C" w14:textId="77777777" w:rsidR="007A6598" w:rsidRPr="004D2098" w:rsidRDefault="003D461F">
      <w:pPr>
        <w:jc w:val="center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RADY GMINY MANOWO</w:t>
      </w:r>
    </w:p>
    <w:p w14:paraId="643D577C" w14:textId="77777777" w:rsidR="007A6598" w:rsidRPr="004D2098" w:rsidRDefault="003D461F">
      <w:pPr>
        <w:jc w:val="center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z dnia 26 września 2025 roku</w:t>
      </w:r>
    </w:p>
    <w:p w14:paraId="20521EDE" w14:textId="77777777" w:rsidR="007A6598" w:rsidRPr="004D2098" w:rsidRDefault="003D461F">
      <w:pPr>
        <w:jc w:val="center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w sprawie określenia wysokości stawek podatku od nieruchomości</w:t>
      </w:r>
    </w:p>
    <w:p w14:paraId="0976F6EE" w14:textId="77777777" w:rsidR="007A6598" w:rsidRPr="004D2098" w:rsidRDefault="007A6598">
      <w:pPr>
        <w:jc w:val="center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</w:p>
    <w:p w14:paraId="33EBB87E" w14:textId="699503FD" w:rsidR="007A6598" w:rsidRPr="004D2098" w:rsidRDefault="003D461F">
      <w:pPr>
        <w:ind w:firstLine="708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Na podstawie art.18 ust.2 pkt 8 oraz art.40 ust. 1 i art. 41 ust. 1 ustawy z dnia 8 marca 1990 r. o samorządzie gminnym (Dz.U. z 2025 r., poz. 1153 art. 5 ustawy z dnia 12 stycznia 1991 r. o podatkach i opłatach lokalnych (</w:t>
      </w:r>
      <w:bookmarkStart w:id="1" w:name="_Hlk209083953"/>
      <w:r w:rsidRPr="004D2098">
        <w:rPr>
          <w:rFonts w:ascii="Bookman Old Style" w:hAnsi="Bookman Old Style"/>
          <w:color w:val="000000" w:themeColor="text1"/>
          <w:sz w:val="20"/>
          <w:szCs w:val="20"/>
        </w:rPr>
        <w:t>Dz. U. z 2025 r. poz. 707</w:t>
      </w:r>
      <w:bookmarkEnd w:id="1"/>
      <w:r w:rsidRPr="004D2098">
        <w:rPr>
          <w:rFonts w:ascii="Bookman Old Style" w:hAnsi="Bookman Old Style"/>
          <w:color w:val="000000" w:themeColor="text1"/>
          <w:sz w:val="20"/>
          <w:szCs w:val="20"/>
        </w:rPr>
        <w:t>) Rada Gminy Manowo uchwala, co następuje:</w:t>
      </w:r>
    </w:p>
    <w:p w14:paraId="75117DCE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§ 1.</w:t>
      </w:r>
      <w:r w:rsidRPr="004D2098">
        <w:rPr>
          <w:rFonts w:ascii="Bookman Old Style" w:hAnsi="Bookman Old Style"/>
          <w:color w:val="000000" w:themeColor="text1"/>
          <w:sz w:val="20"/>
          <w:szCs w:val="20"/>
        </w:rPr>
        <w:t> Określa się następujące stawki podatku od nieruchomości obowiązujące na terenie Gminy Manowo:</w:t>
      </w:r>
    </w:p>
    <w:p w14:paraId="3B144557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1) od gruntów:</w:t>
      </w:r>
    </w:p>
    <w:p w14:paraId="13B4FE0A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a) związanych z prowadzeniem działalności gospodarczej, bez względu na sposób zakwalifikowania w ewidencji gruntów i budynków - od 1 m2 powierzchni – 1,42 zł;</w:t>
      </w:r>
    </w:p>
    <w:p w14:paraId="21827A89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b) pod wodami powierzchniowymi stojącymi lub wodami powierzchniowymi płynącymi jezior i zbiorników sztucznych - od 1ha powierzchni – 6,80 zł;</w:t>
      </w:r>
    </w:p>
    <w:p w14:paraId="25A39663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 xml:space="preserve">c) pozostałych, w tym zajętych na prowadzenie odpłatnej statutowej działalności pożytku publicznego przez organizacje pożytku publicznego -  od 1m2 powierzchni -0,77 zł; </w:t>
      </w:r>
    </w:p>
    <w:p w14:paraId="0FCD2BC9" w14:textId="6CAC8D3A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 xml:space="preserve">d) niezabudowanych objętych obszarem rewitalizacji, o którym mowa w ustawie z dnia 9 października 2015 r. o rewitalizacji (Dz.U.2024.278)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- od 1m2 powierzchni – 4,50 zł;  </w:t>
      </w:r>
    </w:p>
    <w:p w14:paraId="4D156D00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2) od budynków lub ich części :</w:t>
      </w:r>
    </w:p>
    <w:p w14:paraId="4A036E91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a) mieszkalnych - od 1m2 powierzchni użytkowej – 1,23 zł;</w:t>
      </w:r>
    </w:p>
    <w:p w14:paraId="00B59B27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 xml:space="preserve">b) związanych z prowadzeniem działalności gospodarczej oraz od budynków mieszkalnych lub ich części zajętych na prowadzenie     działalności gospodarczej - od 1 m2 powierzchni użytkowej – 34,20 zł; </w:t>
      </w:r>
    </w:p>
    <w:p w14:paraId="520DDEEA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c) zajętych na prowadzenie działalności gospodarczej w zakresie obrotu kwalifikowanym materiałem siewnym - od 1 m2 powierzchni użytkowej – 16,00 zł;</w:t>
      </w:r>
    </w:p>
    <w:p w14:paraId="792D963D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d) związanych z udzielaniem świadczeń zdrowotnych w rozumieniu przepisów o działalności leczniczej, zajętych przez podmioty udzielające tych świadczeń - od 1 m2 powierzchni użytkowej – 6,90 zł;</w:t>
      </w:r>
    </w:p>
    <w:p w14:paraId="64E9A8A8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e) pozostałych, w tym zajętych na prowadzenie odpłatnej statutowej działalności pożytku publicznego przez organizacje pożytku publicznego - od 1 m2 powierzchni użytkowej – 11,70 zł;</w:t>
      </w:r>
    </w:p>
    <w:p w14:paraId="72F810AA" w14:textId="4C6BC769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 xml:space="preserve">3) od budowli - 2% ich wartości - określonej na podstawie art. 4 ust.1 pkt 3 i ust.3-7 ustawy z dnia 12 stycznia 1991 r. o podatkach i opłatach lokalnych (Dz. U. z 2025 r. poz. 707). </w:t>
      </w:r>
    </w:p>
    <w:p w14:paraId="31A44F95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§ 2.</w:t>
      </w:r>
      <w:r w:rsidRPr="004D2098">
        <w:rPr>
          <w:rFonts w:ascii="Bookman Old Style" w:hAnsi="Bookman Old Style"/>
          <w:color w:val="000000" w:themeColor="text1"/>
          <w:sz w:val="20"/>
          <w:szCs w:val="20"/>
        </w:rPr>
        <w:t> Wykonanie uchwały powierza się Wójtowi Gminy Manowo.</w:t>
      </w:r>
    </w:p>
    <w:p w14:paraId="078DCA7E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lastRenderedPageBreak/>
        <w:t>§ 3.</w:t>
      </w:r>
      <w:r w:rsidRPr="004D2098">
        <w:rPr>
          <w:rFonts w:ascii="Bookman Old Style" w:hAnsi="Bookman Old Style"/>
          <w:color w:val="000000" w:themeColor="text1"/>
          <w:sz w:val="20"/>
          <w:szCs w:val="20"/>
        </w:rPr>
        <w:t xml:space="preserve"> Traci moc uchwała Nr  VI/37/2024 Rady Gminy Manowo w sprawie wysokości stawek podatku od nieruchomości z dnia 28 października 2024 roku (Dz.Urz.Woj.Zacho.2024.5164 z dnia 2024.11.07). </w:t>
      </w:r>
    </w:p>
    <w:p w14:paraId="659E0290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§ 4.</w:t>
      </w:r>
      <w:r w:rsidRPr="004D2098">
        <w:rPr>
          <w:rFonts w:ascii="Bookman Old Style" w:hAnsi="Bookman Old Style"/>
          <w:color w:val="000000" w:themeColor="text1"/>
          <w:sz w:val="20"/>
          <w:szCs w:val="20"/>
        </w:rPr>
        <w:t> Uchwała podlega ogłoszeniu w Dzienniku Urzędowym Województwa Zachodniopomorskiego.</w:t>
      </w:r>
    </w:p>
    <w:p w14:paraId="79D53064" w14:textId="77777777" w:rsidR="007A6598" w:rsidRPr="004D2098" w:rsidRDefault="003D461F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§ 5.</w:t>
      </w:r>
      <w:r w:rsidRPr="004D2098">
        <w:rPr>
          <w:rFonts w:ascii="Bookman Old Style" w:hAnsi="Bookman Old Style"/>
          <w:color w:val="000000" w:themeColor="text1"/>
          <w:sz w:val="20"/>
          <w:szCs w:val="20"/>
        </w:rPr>
        <w:t> Uchwała wchodzi w życie z dniem 1  stycznia 2026 roku.</w:t>
      </w:r>
    </w:p>
    <w:p w14:paraId="02AE639E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77305E77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15A4F2AC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73FE6934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0216DCFE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42289B5E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2ADD4D9A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06F6DF5F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47E3EB7F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0DCE3285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10BBBC90" w14:textId="77777777" w:rsidR="007A6598" w:rsidRPr="004D2098" w:rsidRDefault="007A6598">
      <w:pPr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1FCA3FB8" w14:textId="77777777" w:rsidR="007A6598" w:rsidRPr="004D2098" w:rsidRDefault="003D461F">
      <w:pPr>
        <w:jc w:val="center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UZASADNIENIE</w:t>
      </w:r>
    </w:p>
    <w:p w14:paraId="3CE843E1" w14:textId="374F4679" w:rsidR="007A6598" w:rsidRPr="004D2098" w:rsidRDefault="003D461F" w:rsidP="004D2098">
      <w:pPr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D2098">
        <w:rPr>
          <w:rFonts w:ascii="Bookman Old Style" w:hAnsi="Bookman Old Style"/>
          <w:color w:val="000000" w:themeColor="text1"/>
          <w:sz w:val="20"/>
          <w:szCs w:val="20"/>
        </w:rPr>
        <w:t>W oparciu o ustawę z dnia 12 stycznia 1991 r. o podatkach i opłatach lokalnych Rada Gminy posiada kompetencje do ustalania wysokości stawek podatku od nieruchomości, z tym, że podatek nie może przekroczyć górnych stawek podatkowych określonych corocznie w obwieszczeniu Ministra Finansów. Art. 20 ust. 1 cytowanej ustawy zakłada coroczną zmianę górnych stawek kwotowych podatku określonych w art. 5 ust. 1 od roku 2003 na następny rok podatkowy w stopniu odpowiadającym wskaźnikowi wzrostu cen detalicznych towarów i usług konsumpcyjnych w okresie pierwszych dwóch kwartałów roku, w którym stawki ulegają podwyższeniu w stosunku do analogicznego okresu roku poprzedniego. Stawki określone w uchwale mieszczą się w granicach kwot podanych w obwieszczeniu Ministra Finansów z dnia 6 sierpnia 2025 roku w sprawie górnych granic stawek kwotowych podatków i opłat lokalnych na rok 2026 (M.P. z 2025 r., poz. 726). Ustalając stawki podatku od nieruchomości, które są znaczącym dochodem własnym Gminy kierowano się pozyskaniem dochodów celem zapewnienia realizacji niezbędnych zadań Gminy. Tak ustalone stawki w podatku od nieruchomości dadzą planowany wpływ dochodów do budżetu, co zapewni rytmiczną realizację zadań budżetowych.</w:t>
      </w:r>
    </w:p>
    <w:sectPr w:rsidR="007A6598" w:rsidRPr="004D209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98"/>
    <w:rsid w:val="00143973"/>
    <w:rsid w:val="003D461F"/>
    <w:rsid w:val="004D2098"/>
    <w:rsid w:val="007A6598"/>
    <w:rsid w:val="00D7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303E"/>
  <w15:docId w15:val="{31A3BC8D-F655-40BD-B27C-80DE49B5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Górecka</dc:creator>
  <dc:description/>
  <cp:lastModifiedBy>Anna</cp:lastModifiedBy>
  <cp:revision>6</cp:revision>
  <cp:lastPrinted>2025-09-19T04:33:00Z</cp:lastPrinted>
  <dcterms:created xsi:type="dcterms:W3CDTF">2025-09-19T04:33:00Z</dcterms:created>
  <dcterms:modified xsi:type="dcterms:W3CDTF">2025-09-19T04:54:00Z</dcterms:modified>
  <dc:language>pl-PL</dc:language>
</cp:coreProperties>
</file>